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Öğretim Yıl </w:t>
            </w:r>
          </w:p>
          <w:p w:rsidR="00BB1DB6" w:rsidRPr="00045948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7E7B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Tarih </w:t>
            </w:r>
          </w:p>
          <w:p w:rsidR="00BB1DB6" w:rsidRPr="00045948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B7A16">
              <w:rPr>
                <w:b/>
                <w:color w:val="000000"/>
                <w:sz w:val="22"/>
                <w:szCs w:val="22"/>
              </w:rPr>
              <w:t>Ders Kodu</w:t>
            </w:r>
          </w:p>
          <w:p w:rsidR="00CB7A16" w:rsidRPr="00CB7A16" w:rsidRDefault="007E7BEC" w:rsidP="000C4E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  <w:r w:rsidR="000C4E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 Adı</w:t>
            </w:r>
          </w:p>
          <w:p w:rsidR="00CB7A16" w:rsidRPr="00CB7A16" w:rsidRDefault="000C4EBD" w:rsidP="006B1F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7724">
              <w:rPr>
                <w:bCs/>
                <w:color w:val="000000"/>
                <w:sz w:val="22"/>
                <w:szCs w:val="22"/>
                <w:lang w:val="tr-TR"/>
              </w:rPr>
              <w:t>Algılayıcılar ve Aktüatörler</w:t>
            </w:r>
            <w:r>
              <w:rPr>
                <w:bCs/>
                <w:color w:val="000000"/>
                <w:sz w:val="22"/>
                <w:szCs w:val="22"/>
                <w:lang w:val="tr-TR"/>
              </w:rPr>
              <w:t>-I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Dönem/Yıl </w:t>
            </w:r>
          </w:p>
          <w:p w:rsidR="00B3372D" w:rsidRPr="00B3372D" w:rsidRDefault="007E7BE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Güz</w:t>
            </w:r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Kredisi </w:t>
            </w:r>
          </w:p>
          <w:p w:rsidR="00B3372D" w:rsidRPr="00B3372D" w:rsidRDefault="008A55E9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Ders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Kredi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Teori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8A55E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8A55E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242A5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Öğretim Üyesi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6B1FC9" w:rsidP="00D86D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Doç. Dr. </w:t>
            </w:r>
            <w:r w:rsidR="000C4EBD">
              <w:rPr>
                <w:color w:val="000000"/>
                <w:sz w:val="22"/>
                <w:szCs w:val="22"/>
              </w:rPr>
              <w:t xml:space="preserve">Mehmet </w:t>
            </w:r>
            <w:r w:rsidR="00D86D2B">
              <w:rPr>
                <w:color w:val="000000"/>
                <w:sz w:val="22"/>
                <w:szCs w:val="22"/>
              </w:rPr>
              <w:t>Ç</w:t>
            </w:r>
            <w:r w:rsidR="000C4EBD">
              <w:rPr>
                <w:color w:val="000000"/>
                <w:sz w:val="22"/>
                <w:szCs w:val="22"/>
              </w:rPr>
              <w:t>AVAŞ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Ders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İçeriği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0C4EBD" w:rsidRDefault="000C4EBD" w:rsidP="00B734FE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 w:rsidRPr="00087724">
              <w:rPr>
                <w:sz w:val="22"/>
                <w:szCs w:val="22"/>
                <w:lang w:val="tr-TR"/>
              </w:rPr>
              <w:t>Doğrusal ve dönel algılayıcılar,</w:t>
            </w:r>
            <w:r w:rsidR="00B734FE">
              <w:rPr>
                <w:sz w:val="22"/>
                <w:szCs w:val="22"/>
                <w:lang w:val="tr-TR"/>
              </w:rPr>
              <w:t xml:space="preserve"> ölçme prensipleri ve ölçmede hatalar, Algılayıcıların sınıflandırılması, algılayıcı karakteristikleri, optik sensörler, sıcaklık sensörleri, manyetik, kapasitif, endüktif sensörlerin yapısı, sese duyarlı sensörler, basınç sensörleri, kuvvet ve gerilme ölçümü.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Ders Planı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0C4EBD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1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Ölçü sistemleri, sinyaller ve standartlar, enstrümantasyon hakkında </w:t>
            </w:r>
            <w:r w:rsidR="00EA0964"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genel </w:t>
            </w: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bilgi</w:t>
            </w:r>
            <w:r w:rsidR="00EA0964" w:rsidRPr="00EA0964">
              <w:rPr>
                <w:color w:val="000000"/>
                <w:sz w:val="22"/>
                <w:szCs w:val="22"/>
                <w:lang w:val="tr-TR"/>
              </w:rPr>
              <w:t>lerin verilmesi</w:t>
            </w:r>
          </w:p>
        </w:tc>
      </w:tr>
      <w:tr w:rsidR="000C4EBD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2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Enstrümantasyonun amacı, ölçme ve kontrol arasındaki ilişki</w:t>
            </w:r>
            <w:r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3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Ölçmenin</w:t>
            </w:r>
            <w:r w:rsidR="00EA0964"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 temel</w:t>
            </w: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 prensipleri</w:t>
            </w:r>
            <w:r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  <w:r w:rsidR="00EA0964" w:rsidRPr="00EA0964">
              <w:rPr>
                <w:color w:val="000000"/>
                <w:sz w:val="22"/>
                <w:szCs w:val="22"/>
                <w:lang w:val="tr-TR"/>
              </w:rPr>
              <w:t>ve önemi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4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Ölçme hataları ve </w:t>
            </w:r>
            <w:proofErr w:type="gramStart"/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kalibrasyon</w:t>
            </w:r>
            <w:proofErr w:type="gramEnd"/>
            <w:r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5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EA0964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Algılayıcılar ve </w:t>
            </w:r>
            <w:r w:rsidR="00EA0964"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dönüştürücülerin sınıflandırılması</w:t>
            </w: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 ve çeşitleri.</w:t>
            </w:r>
            <w:r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6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Algılayıcıların karakteristikleri ve elektriksel prensipleri.</w:t>
            </w:r>
            <w:r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7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C33FB0" w:rsidP="00C33FB0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Sıcaklık algılayıcı çeşitleri, çalışma prensipleri, </w:t>
            </w:r>
            <w:r w:rsidR="000C4EBD"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kullanı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m alanları ve uygulama devrelerinin incelenmesi</w:t>
            </w:r>
            <w:r w:rsidR="000C4EBD"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.</w:t>
            </w:r>
            <w:r w:rsidR="000C4EBD"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8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ARA SINAV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9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Işığa duyarlı algılayıcıların çalışma prensibi ve kullanıldığı yerler. Fotopil, LDR, Fotodiyot, Fototransistör, Infrared (IR) verici – alıcı ve Optoküplörün incelenmesi.</w:t>
            </w:r>
            <w:r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10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D242F3" w:rsidP="00D242F3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O</w:t>
            </w:r>
            <w:r w:rsidRPr="00D242F3">
              <w:rPr>
                <w:color w:val="000000"/>
                <w:sz w:val="22"/>
                <w:szCs w:val="22"/>
                <w:lang w:val="tr-TR"/>
              </w:rPr>
              <w:t>ptik temassız algılayıcılar</w:t>
            </w:r>
            <w:r w:rsidRPr="00EA0964"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tr-TR"/>
              </w:rPr>
              <w:t xml:space="preserve">ve </w:t>
            </w:r>
            <w:proofErr w:type="gramStart"/>
            <w:r>
              <w:rPr>
                <w:sz w:val="22"/>
                <w:szCs w:val="22"/>
                <w:lang w:val="tr-TR"/>
              </w:rPr>
              <w:t>e</w:t>
            </w:r>
            <w:r w:rsidR="000C4EBD" w:rsidRPr="00EA0964">
              <w:rPr>
                <w:sz w:val="22"/>
                <w:szCs w:val="22"/>
                <w:lang w:val="tr-TR"/>
              </w:rPr>
              <w:t>ntegre</w:t>
            </w:r>
            <w:proofErr w:type="gramEnd"/>
            <w:r w:rsidR="000C4EBD" w:rsidRPr="00EA0964">
              <w:rPr>
                <w:sz w:val="22"/>
                <w:szCs w:val="22"/>
                <w:lang w:val="tr-TR"/>
              </w:rPr>
              <w:t xml:space="preserve"> </w:t>
            </w:r>
            <w:r w:rsidRPr="00EA0964">
              <w:rPr>
                <w:sz w:val="22"/>
                <w:szCs w:val="22"/>
                <w:lang w:val="tr-TR"/>
              </w:rPr>
              <w:t>mikro algılayıcıla</w:t>
            </w:r>
            <w:r>
              <w:rPr>
                <w:sz w:val="22"/>
                <w:szCs w:val="22"/>
                <w:lang w:val="tr-TR"/>
              </w:rPr>
              <w:t>rın yapısı ve çalışma prensipleri</w:t>
            </w:r>
            <w:r w:rsidR="000C4EBD" w:rsidRPr="00EA0964">
              <w:rPr>
                <w:sz w:val="22"/>
                <w:szCs w:val="22"/>
                <w:lang w:val="tr-TR"/>
              </w:rPr>
              <w:t xml:space="preserve">,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11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D242F3" w:rsidP="002A29EB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color w:val="000000"/>
                <w:sz w:val="22"/>
                <w:szCs w:val="22"/>
                <w:lang w:val="tr-TR"/>
              </w:rPr>
              <w:t>M</w:t>
            </w:r>
            <w:r w:rsidRPr="00D242F3">
              <w:rPr>
                <w:color w:val="000000"/>
                <w:sz w:val="22"/>
                <w:szCs w:val="22"/>
                <w:lang w:val="tr-TR"/>
              </w:rPr>
              <w:t xml:space="preserve">anyetik, endüktif, kapasitif, </w:t>
            </w:r>
            <w:r>
              <w:rPr>
                <w:color w:val="000000"/>
                <w:sz w:val="22"/>
                <w:szCs w:val="22"/>
                <w:lang w:val="tr-TR"/>
              </w:rPr>
              <w:t>algılayıcıların yapısı ve çalışma prensipleri.</w:t>
            </w:r>
            <w:r w:rsidRPr="00D242F3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12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D242F3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Basınca duyarlı algılayıcıların çalışma prensibi. Piezo-elektrik sensörünün incelenmesi.</w:t>
            </w:r>
            <w:r w:rsidRPr="00EA0964">
              <w:rPr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13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33FB0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Hareket, pozisyon, kuvvet, gerilme ve hız algılayıcıları</w:t>
            </w:r>
            <w:r w:rsidR="00C33FB0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n yapısı ve çalışma prensipleri</w:t>
            </w: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 xml:space="preserve">. 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288" w:lineRule="atLeast"/>
              <w:jc w:val="both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14</w:t>
            </w:r>
            <w:r w:rsidRPr="00EA0964">
              <w:rPr>
                <w:b/>
                <w:bCs/>
                <w:color w:val="00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D242F3" w:rsidP="00C242A5">
            <w:pPr>
              <w:spacing w:line="288" w:lineRule="atLeast"/>
              <w:jc w:val="both"/>
              <w:rPr>
                <w:color w:val="000000"/>
                <w:sz w:val="22"/>
                <w:szCs w:val="22"/>
                <w:lang w:val="tr-TR"/>
              </w:rPr>
            </w:pPr>
            <w:r w:rsidRPr="00EA0964"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Sese duyarlı algılayıcıların çalışma prensibi ve kullanıldığı yerler. Ses transdüseri ve sensörünün incelenmesi. Mikrofon ve hoparlör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  <w:lang w:val="tr-TR"/>
              </w:rPr>
              <w:t>ün yapısı ve çalışma prensibi.</w:t>
            </w:r>
          </w:p>
        </w:tc>
      </w:tr>
      <w:tr w:rsid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 w:rsidRPr="00EA0964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EA0964" w:rsidRDefault="000C4EBD" w:rsidP="00C242A5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EA0964">
              <w:rPr>
                <w:sz w:val="22"/>
                <w:szCs w:val="22"/>
                <w:lang w:val="tr-TR"/>
              </w:rPr>
              <w:t>MAZERET SINAVI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103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0C4EBD" w:rsidRPr="00381724" w:rsidTr="000C4EB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Kitapları </w:t>
            </w:r>
          </w:p>
          <w:p w:rsidR="000C4EB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/Kaynakları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C4EBD" w:rsidRDefault="00D242F3" w:rsidP="00D242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</w:t>
            </w:r>
            <w:r w:rsidR="000C4EBD" w:rsidRPr="000C4EBD">
              <w:rPr>
                <w:color w:val="000000"/>
                <w:sz w:val="22"/>
                <w:szCs w:val="22"/>
              </w:rPr>
              <w:t xml:space="preserve">The Mechatronics Handbook, R. H. Bishop, CRC </w:t>
            </w:r>
            <w:proofErr w:type="gramStart"/>
            <w:r w:rsidR="000C4EBD" w:rsidRPr="000C4EBD">
              <w:rPr>
                <w:color w:val="000000"/>
                <w:sz w:val="22"/>
                <w:szCs w:val="22"/>
              </w:rPr>
              <w:t>Pres,  Boca</w:t>
            </w:r>
            <w:proofErr w:type="gramEnd"/>
            <w:r w:rsidR="000C4EBD" w:rsidRPr="000C4EBD">
              <w:rPr>
                <w:color w:val="000000"/>
                <w:sz w:val="22"/>
                <w:szCs w:val="22"/>
              </w:rPr>
              <w:t xml:space="preserve"> Raton (Florida-USA), 2002. </w:t>
            </w:r>
          </w:p>
        </w:tc>
      </w:tr>
      <w:tr w:rsidR="000C4EBD" w:rsidTr="000C4EB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Yardımcı Kitaplar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Pr="00087724" w:rsidRDefault="00D242F3" w:rsidP="00D24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</w:t>
            </w:r>
            <w:r w:rsidR="000C4EBD" w:rsidRPr="00087724">
              <w:rPr>
                <w:sz w:val="22"/>
                <w:szCs w:val="22"/>
              </w:rPr>
              <w:t xml:space="preserve">Mechatronic Systems Fundamentals, R. Isermann, Springer-Verlag, London, 2003. </w:t>
            </w:r>
          </w:p>
          <w:p w:rsidR="000C4EBD" w:rsidRPr="000C4EBD" w:rsidRDefault="00D242F3" w:rsidP="00D24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  <w:r w:rsidR="000C4EBD" w:rsidRPr="00087724">
              <w:rPr>
                <w:sz w:val="22"/>
                <w:szCs w:val="22"/>
              </w:rPr>
              <w:t>Mechatronics, 2nd Ed., W. Bolton, Prentice Hall, London, 1999.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Değerlendirme Ölçütleri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Mühendislik Bilimleri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Mühendislik Tasarımı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C4E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BD" w:rsidRDefault="000C4EBD" w:rsidP="000C4EBD">
            <w:pPr>
              <w:pStyle w:val="Default"/>
              <w:rPr>
                <w:sz w:val="22"/>
                <w:szCs w:val="22"/>
              </w:rPr>
            </w:pPr>
            <w:r w:rsidRPr="00087724">
              <w:rPr>
                <w:sz w:val="22"/>
                <w:szCs w:val="22"/>
              </w:rPr>
              <w:t>Ölçme prensiplerini, birimlerini</w:t>
            </w:r>
            <w:r>
              <w:rPr>
                <w:sz w:val="22"/>
                <w:szCs w:val="22"/>
              </w:rPr>
              <w:t xml:space="preserve"> ve standartlarını inceleme.</w:t>
            </w:r>
            <w:r>
              <w:rPr>
                <w:sz w:val="22"/>
                <w:szCs w:val="22"/>
              </w:rPr>
              <w:br/>
            </w:r>
            <w:r w:rsidRPr="00087724">
              <w:rPr>
                <w:sz w:val="22"/>
                <w:szCs w:val="22"/>
              </w:rPr>
              <w:t>Ölçü aletlerinin performans terimleri, ölçü aleti sınıfları, ve ölçme</w:t>
            </w:r>
            <w:r>
              <w:rPr>
                <w:sz w:val="22"/>
                <w:szCs w:val="22"/>
              </w:rPr>
              <w:t xml:space="preserve"> hatalarının analizini yapma.</w:t>
            </w:r>
          </w:p>
          <w:p w:rsidR="00B3372D" w:rsidRPr="00213A9B" w:rsidRDefault="000C4EBD" w:rsidP="000C4EBD">
            <w:pPr>
              <w:pStyle w:val="Default"/>
              <w:rPr>
                <w:sz w:val="22"/>
                <w:szCs w:val="22"/>
              </w:rPr>
            </w:pPr>
            <w:r w:rsidRPr="00087724">
              <w:rPr>
                <w:sz w:val="22"/>
                <w:szCs w:val="22"/>
              </w:rPr>
              <w:t>Sıcaklık, basınç, gerilme, ışık şiddeti, ivme, hız, akışkanlık, hareket, ses şiddeti, tork, kuv</w:t>
            </w:r>
            <w:r>
              <w:rPr>
                <w:sz w:val="22"/>
                <w:szCs w:val="22"/>
              </w:rPr>
              <w:t>vet algılayıcılarını kavrama</w:t>
            </w:r>
            <w:r>
              <w:rPr>
                <w:sz w:val="22"/>
                <w:szCs w:val="22"/>
              </w:rPr>
              <w:br/>
            </w:r>
            <w:r w:rsidRPr="00087724">
              <w:rPr>
                <w:sz w:val="22"/>
                <w:szCs w:val="22"/>
              </w:rPr>
              <w:t>Sıcaklık, basınç, ışık şiddeti, hız, hareket, ses şiddeti, kuvvet ölçümlerini gerçekleştirme.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Dersin Hedefleri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2A5" w:rsidRPr="00C242A5" w:rsidRDefault="00C33FB0" w:rsidP="00C33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</w:t>
            </w:r>
            <w:r w:rsidR="00C242A5" w:rsidRPr="00C242A5">
              <w:rPr>
                <w:sz w:val="22"/>
                <w:szCs w:val="22"/>
              </w:rPr>
              <w:t>Ölçme prensiplerini, birimlerini ve standartlarını inceleme.</w:t>
            </w:r>
          </w:p>
          <w:p w:rsidR="00C242A5" w:rsidRPr="00C242A5" w:rsidRDefault="00C33FB0" w:rsidP="00C33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  <w:r w:rsidR="00C242A5" w:rsidRPr="00C242A5">
              <w:rPr>
                <w:sz w:val="22"/>
                <w:szCs w:val="22"/>
              </w:rPr>
              <w:t>Ölçü aletlerinin performans terimleri, ölçü aleti sınıfları, ve ölçme hatalarının analizini yapma.</w:t>
            </w:r>
          </w:p>
          <w:p w:rsidR="00C242A5" w:rsidRPr="00C242A5" w:rsidRDefault="00D242F3" w:rsidP="00D24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</w:t>
            </w:r>
            <w:r w:rsidR="00C242A5" w:rsidRPr="00C242A5">
              <w:rPr>
                <w:sz w:val="22"/>
                <w:szCs w:val="22"/>
              </w:rPr>
              <w:t>Sıcaklık, basınç, gerilme, ışık şiddeti, ivme, hız, akışkanlık, hareket, ses şiddeti, tork, kuvvet algılayıcılarını kavrama</w:t>
            </w:r>
          </w:p>
          <w:p w:rsidR="00B3372D" w:rsidRDefault="00D242F3" w:rsidP="00D242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  <w:r w:rsidR="00C242A5" w:rsidRPr="00C242A5">
              <w:rPr>
                <w:sz w:val="22"/>
                <w:szCs w:val="22"/>
              </w:rPr>
              <w:t>Sıcaklık, basınç, ışık şiddeti, hız, hareket, ses şiddeti, kuvvet ölçümlerini gerçekleştirme.</w:t>
            </w:r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 w:rsidP="00D242F3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 xml:space="preserve">Dersin </w:t>
            </w:r>
            <w:r>
              <w:rPr>
                <w:b/>
                <w:bCs/>
                <w:sz w:val="22"/>
                <w:szCs w:val="22"/>
                <w:lang w:val="tr-TR"/>
              </w:rPr>
              <w:t>İşl</w:t>
            </w:r>
            <w:r w:rsidR="00D242F3">
              <w:rPr>
                <w:b/>
                <w:bCs/>
                <w:sz w:val="22"/>
                <w:szCs w:val="22"/>
                <w:lang w:val="tr-TR"/>
              </w:rPr>
              <w:t>.</w:t>
            </w:r>
            <w:r>
              <w:rPr>
                <w:b/>
                <w:bCs/>
                <w:sz w:val="22"/>
                <w:szCs w:val="22"/>
                <w:lang w:val="tr-TR"/>
              </w:rPr>
              <w:t xml:space="preserve">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çıktıları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0057DA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C242A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7E7BEC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0057DA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 Katkısı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 w:rsidP="00B337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Düzenleyen Kişi(ler): </w:t>
      </w:r>
    </w:p>
    <w:p w:rsidR="00B3372D" w:rsidRPr="00981B28" w:rsidRDefault="00B3372D" w:rsidP="00B3372D">
      <w:r>
        <w:rPr>
          <w:b/>
          <w:bCs/>
          <w:sz w:val="22"/>
          <w:szCs w:val="22"/>
        </w:rPr>
        <w:t xml:space="preserve">Hazırlanma Tarihi: 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A7E81348"/>
    <w:lvl w:ilvl="0" w:tplc="11CC3E7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6E6"/>
    <w:multiLevelType w:val="hybridMultilevel"/>
    <w:tmpl w:val="A33E14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E75FA1"/>
    <w:multiLevelType w:val="hybridMultilevel"/>
    <w:tmpl w:val="3E3C07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B3449C"/>
    <w:multiLevelType w:val="hybridMultilevel"/>
    <w:tmpl w:val="E2988E4C"/>
    <w:lvl w:ilvl="0" w:tplc="B2FAA150">
      <w:start w:val="3"/>
      <w:numFmt w:val="decimal"/>
      <w:lvlText w:val="%1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057DA"/>
    <w:rsid w:val="000C4EBD"/>
    <w:rsid w:val="00102E6B"/>
    <w:rsid w:val="001E7F3B"/>
    <w:rsid w:val="001F02F6"/>
    <w:rsid w:val="00213A9B"/>
    <w:rsid w:val="002A2851"/>
    <w:rsid w:val="002A29EB"/>
    <w:rsid w:val="002B2E78"/>
    <w:rsid w:val="002B4016"/>
    <w:rsid w:val="00336543"/>
    <w:rsid w:val="003655F5"/>
    <w:rsid w:val="00381724"/>
    <w:rsid w:val="003B5BFE"/>
    <w:rsid w:val="003C7BAA"/>
    <w:rsid w:val="0043048E"/>
    <w:rsid w:val="004949D7"/>
    <w:rsid w:val="00561F13"/>
    <w:rsid w:val="005906DC"/>
    <w:rsid w:val="0062483C"/>
    <w:rsid w:val="00654330"/>
    <w:rsid w:val="006924FD"/>
    <w:rsid w:val="006A5CE5"/>
    <w:rsid w:val="006B1FC9"/>
    <w:rsid w:val="006C2866"/>
    <w:rsid w:val="00712876"/>
    <w:rsid w:val="007C080B"/>
    <w:rsid w:val="007C5D1C"/>
    <w:rsid w:val="007E7BEC"/>
    <w:rsid w:val="00842C54"/>
    <w:rsid w:val="008A55E9"/>
    <w:rsid w:val="008E03E6"/>
    <w:rsid w:val="00934E8E"/>
    <w:rsid w:val="00981B28"/>
    <w:rsid w:val="009C70E8"/>
    <w:rsid w:val="00A070FF"/>
    <w:rsid w:val="00A234D0"/>
    <w:rsid w:val="00AC2770"/>
    <w:rsid w:val="00AD3DEA"/>
    <w:rsid w:val="00B3372D"/>
    <w:rsid w:val="00B734FE"/>
    <w:rsid w:val="00BB1DB6"/>
    <w:rsid w:val="00C242A5"/>
    <w:rsid w:val="00C33FB0"/>
    <w:rsid w:val="00C6635C"/>
    <w:rsid w:val="00CB7A16"/>
    <w:rsid w:val="00CF0B90"/>
    <w:rsid w:val="00D10F2A"/>
    <w:rsid w:val="00D242F3"/>
    <w:rsid w:val="00D43ADE"/>
    <w:rsid w:val="00D53A2D"/>
    <w:rsid w:val="00D86D2B"/>
    <w:rsid w:val="00E424A9"/>
    <w:rsid w:val="00E96F04"/>
    <w:rsid w:val="00EA0964"/>
    <w:rsid w:val="00EE631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A218-8775-4130-82C4-768A1E36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  <w:style w:type="paragraph" w:styleId="BalonMetni">
    <w:name w:val="Balloon Text"/>
    <w:basedOn w:val="Normal"/>
    <w:link w:val="BalonMetniChar"/>
    <w:rsid w:val="002A29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A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2016-06-27T09:25:00Z</cp:lastPrinted>
  <dcterms:created xsi:type="dcterms:W3CDTF">2018-10-26T07:21:00Z</dcterms:created>
  <dcterms:modified xsi:type="dcterms:W3CDTF">2018-10-26T07:21:00Z</dcterms:modified>
</cp:coreProperties>
</file>